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3D" w:rsidRDefault="00173F3D">
      <w:bookmarkStart w:id="0" w:name="_GoBack"/>
      <w:bookmarkEnd w:id="0"/>
    </w:p>
    <w:p w:rsidR="00173F3D" w:rsidRDefault="00173F3D"/>
    <w:p w:rsidR="00173F3D" w:rsidRDefault="00173F3D">
      <w:r>
        <w:rPr>
          <w:noProof/>
          <w:lang w:eastAsia="cs-CZ"/>
        </w:rPr>
        <w:drawing>
          <wp:inline distT="0" distB="0" distL="0" distR="0" wp14:anchorId="66F23B5B" wp14:editId="45A30734">
            <wp:extent cx="6640830" cy="1936750"/>
            <wp:effectExtent l="0" t="0" r="7620" b="63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17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6F" w:rsidRDefault="008C0A6F" w:rsidP="00173F3D">
      <w:pPr>
        <w:spacing w:after="0" w:line="240" w:lineRule="auto"/>
      </w:pPr>
      <w:r>
        <w:separator/>
      </w:r>
    </w:p>
  </w:endnote>
  <w:endnote w:type="continuationSeparator" w:id="0">
    <w:p w:rsidR="008C0A6F" w:rsidRDefault="008C0A6F" w:rsidP="0017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6F" w:rsidRDefault="008C0A6F" w:rsidP="00173F3D">
      <w:pPr>
        <w:spacing w:after="0" w:line="240" w:lineRule="auto"/>
      </w:pPr>
      <w:r>
        <w:separator/>
      </w:r>
    </w:p>
  </w:footnote>
  <w:footnote w:type="continuationSeparator" w:id="0">
    <w:p w:rsidR="008C0A6F" w:rsidRDefault="008C0A6F" w:rsidP="0017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E9"/>
    <w:rsid w:val="00173F3D"/>
    <w:rsid w:val="003221A7"/>
    <w:rsid w:val="00586841"/>
    <w:rsid w:val="00665FC0"/>
    <w:rsid w:val="00716DCF"/>
    <w:rsid w:val="008C0A6F"/>
    <w:rsid w:val="00D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\\MPCR.CZ\Dfs_mpcr\NYKOS_DATA\Provoz\Radka%20Gallerov&#225;\komun&#225;l\Evidence%20obc&#237;%20a%20m&#283;st%20-%20nov&#22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Porovnání produkce SKO a BIO odpadu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4068760145013192E-2"/>
          <c:y val="0.12976353928299009"/>
          <c:w val="0.95460563128390896"/>
          <c:h val="0.69053664630593947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power"/>
            <c:dispRSqr val="0"/>
            <c:dispEq val="0"/>
          </c:trendline>
          <c:cat>
            <c:multiLvlStrRef>
              <c:f>Tabulka!$B$7:$C$2785</c:f>
              <c:multiLvlStrCache>
                <c:ptCount val="24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</c:lvl>
              </c:multiLvlStrCache>
            </c:multiLvlStrRef>
          </c:cat>
          <c:val>
            <c:numRef>
              <c:f>Tabulka!$D$7:$D$2785</c:f>
              <c:numCache>
                <c:formatCode>#,##0.000" t"</c:formatCode>
                <c:ptCount val="24"/>
                <c:pt idx="0">
                  <c:v>15.748236</c:v>
                </c:pt>
                <c:pt idx="1">
                  <c:v>16.819385</c:v>
                </c:pt>
                <c:pt idx="2">
                  <c:v>16.542767999999999</c:v>
                </c:pt>
                <c:pt idx="3">
                  <c:v>19.524324</c:v>
                </c:pt>
                <c:pt idx="4">
                  <c:v>11.693630000000001</c:v>
                </c:pt>
                <c:pt idx="5">
                  <c:v>11.027277</c:v>
                </c:pt>
                <c:pt idx="6">
                  <c:v>10.53697</c:v>
                </c:pt>
                <c:pt idx="7">
                  <c:v>11.167622</c:v>
                </c:pt>
                <c:pt idx="8">
                  <c:v>18.319906</c:v>
                </c:pt>
                <c:pt idx="9">
                  <c:v>12.74085</c:v>
                </c:pt>
                <c:pt idx="10">
                  <c:v>19.613887999999999</c:v>
                </c:pt>
                <c:pt idx="11">
                  <c:v>21.545354</c:v>
                </c:pt>
                <c:pt idx="12">
                  <c:v>17.438064000000001</c:v>
                </c:pt>
                <c:pt idx="13">
                  <c:v>16.495135999999999</c:v>
                </c:pt>
                <c:pt idx="14">
                  <c:v>23.812498000000001</c:v>
                </c:pt>
                <c:pt idx="15">
                  <c:v>14.499957999999999</c:v>
                </c:pt>
                <c:pt idx="16">
                  <c:v>13.025589999999999</c:v>
                </c:pt>
                <c:pt idx="17">
                  <c:v>12.26</c:v>
                </c:pt>
                <c:pt idx="18">
                  <c:v>10.975</c:v>
                </c:pt>
                <c:pt idx="19">
                  <c:v>10.228400000000001</c:v>
                </c:pt>
                <c:pt idx="20">
                  <c:v>17.038</c:v>
                </c:pt>
                <c:pt idx="21">
                  <c:v>14.292</c:v>
                </c:pt>
                <c:pt idx="22">
                  <c:v>17.913</c:v>
                </c:pt>
                <c:pt idx="23">
                  <c:v>21.95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multiLvlStrRef>
              <c:f>Tabulka!$B$7:$C$2785</c:f>
              <c:multiLvlStrCache>
                <c:ptCount val="24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</c:lvl>
              </c:multiLvlStrCache>
            </c:multiLvlStrRef>
          </c:cat>
          <c:val>
            <c:numRef>
              <c:f>Tabulka!$G$7:$G$2785</c:f>
              <c:numCache>
                <c:formatCode>General</c:formatCode>
                <c:ptCount val="24"/>
                <c:pt idx="3" formatCode="#,##0.000&quot; t&quot;">
                  <c:v>1.718726</c:v>
                </c:pt>
                <c:pt idx="4" formatCode="#,##0.000&quot; t&quot;">
                  <c:v>6.4989569999999999</c:v>
                </c:pt>
                <c:pt idx="5" formatCode="#,##0.000&quot; t&quot;">
                  <c:v>6.5048719999999998</c:v>
                </c:pt>
                <c:pt idx="6" formatCode="#,##0.000&quot; t&quot;">
                  <c:v>8.3258189999999992</c:v>
                </c:pt>
                <c:pt idx="7" formatCode="#,##0.000&quot; t&quot;">
                  <c:v>6.0607889999999998</c:v>
                </c:pt>
                <c:pt idx="8" formatCode="#,##0.000&quot; t&quot;">
                  <c:v>7.5163640000000003</c:v>
                </c:pt>
                <c:pt idx="9" formatCode="#,##0.000&quot; t&quot;">
                  <c:v>6.258159</c:v>
                </c:pt>
                <c:pt idx="15" formatCode="#,##0.000&quot; t&quot;">
                  <c:v>5.049995</c:v>
                </c:pt>
                <c:pt idx="16" formatCode="#,##0.000&quot; t&quot;">
                  <c:v>6.7399909999999998</c:v>
                </c:pt>
                <c:pt idx="17" formatCode="#,##0.000&quot; t&quot;">
                  <c:v>9.51</c:v>
                </c:pt>
                <c:pt idx="18" formatCode="#,##0.000&quot; t&quot;">
                  <c:v>4.4089999999999998</c:v>
                </c:pt>
                <c:pt idx="19" formatCode="#,##0.000&quot; t&quot;">
                  <c:v>4.45</c:v>
                </c:pt>
                <c:pt idx="20" formatCode="#,##0.000&quot; t&quot;">
                  <c:v>5.41</c:v>
                </c:pt>
                <c:pt idx="21" formatCode="#,##0.000&quot; t&quot;">
                  <c:v>4.97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714304"/>
        <c:axId val="93715840"/>
      </c:barChart>
      <c:catAx>
        <c:axId val="9371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3715840"/>
        <c:crossesAt val="0"/>
        <c:auto val="1"/>
        <c:lblAlgn val="ctr"/>
        <c:lblOffset val="100"/>
        <c:noMultiLvlLbl val="0"/>
      </c:catAx>
      <c:valAx>
        <c:axId val="9371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&quot; t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371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Pedersen, a.s.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Petr</dc:creator>
  <cp:lastModifiedBy>OU_notebook</cp:lastModifiedBy>
  <cp:revision>2</cp:revision>
  <cp:lastPrinted>2016-02-08T16:42:00Z</cp:lastPrinted>
  <dcterms:created xsi:type="dcterms:W3CDTF">2016-11-09T10:53:00Z</dcterms:created>
  <dcterms:modified xsi:type="dcterms:W3CDTF">2016-11-09T10:53:00Z</dcterms:modified>
</cp:coreProperties>
</file>